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outlineLvl w:val="1"/>
        <w:rPr>
          <w:rFonts w:ascii="Times New Roman" w:cs="Times New Roman" w:hAnsi="Times New Roman" w:eastAsia="Times New Roman"/>
          <w:b w:val="1"/>
          <w:bCs w:val="1"/>
          <w:sz w:val="36"/>
          <w:szCs w:val="36"/>
        </w:rPr>
      </w:pPr>
      <w:r>
        <w:rPr>
          <w:rFonts w:ascii="Times New Roman"/>
          <w:b w:val="1"/>
          <w:bCs w:val="1"/>
          <w:sz w:val="36"/>
          <w:szCs w:val="36"/>
          <w:rtl w:val="0"/>
          <w:lang w:val="nl-NL"/>
        </w:rPr>
        <w:t>Metacognition: An Overview</w:t>
      </w:r>
    </w:p>
    <w:p>
      <w:pPr>
        <w:pStyle w:val="Body"/>
        <w:spacing w:before="100" w:after="100" w:line="240" w:lineRule="auto"/>
        <w:jc w:val="center"/>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Jennifer A. Livingston</w:t>
      </w:r>
    </w:p>
    <w:p>
      <w:pPr>
        <w:pStyle w:val="Body"/>
        <w:spacing w:after="0" w:line="240" w:lineRule="auto"/>
        <w:rPr>
          <w:rFonts w:ascii="Times New Roman" w:cs="Times New Roman" w:hAnsi="Times New Roman" w:eastAsia="Times New Roman"/>
          <w:sz w:val="24"/>
          <w:szCs w:val="24"/>
        </w:rPr>
      </w:pPr>
      <w:r>
        <w:rPr>
          <w:rFonts w:hAnsi="Times New Roman" w:hint="default"/>
          <w:sz w:val="20"/>
          <w:szCs w:val="20"/>
          <w:rtl w:val="0"/>
          <w:lang w:val="en-US"/>
        </w:rPr>
        <w:t xml:space="preserve">© </w:t>
      </w:r>
      <w:r>
        <w:rPr>
          <w:rFonts w:ascii="Times New Roman"/>
          <w:sz w:val="20"/>
          <w:szCs w:val="20"/>
          <w:rtl w:val="0"/>
          <w:lang w:val="en-US"/>
        </w:rPr>
        <w:t>1997 by Jennifer A. Livingston</w:t>
      </w:r>
      <w:r>
        <w:rPr>
          <w:rFonts w:asci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24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br w:type="textWrapping"/>
      </w:r>
      <w:r>
        <w:rPr>
          <w:rFonts w:ascii="Times New Roman"/>
          <w:sz w:val="24"/>
          <w:szCs w:val="24"/>
          <w:rtl w:val="0"/>
          <w:lang w:val="en-US"/>
        </w:rPr>
        <w:t>"Metacognition" is one of the latest buzz words in educational psychology, but what exactly is metacognition? The length and abstract nature of the word makes it sound intimidating, yet its not as daunting a concept as it might seem. We engage in metacognitive activities everyday. Metacognition enables us to be successful learners, and has been associated with intelligence (e.g., Borkowski, Carr, &amp; Pressley, 1987; Sternberg, 1984, 1986a, 1986b). Metacognition refers to higher order thinking which involves active control over the cognitive processes engaged in learning. Activities such as planning how to approach a given learning task, monitoring comprehension, and evaluating progress toward the completion of a task are metacognitive in nature. Because metacognition plays a critical role in successful learning, it is important to study metacognitive activity and development to determine how students can be taught to better apply their cognitive resources through metacognitive control.</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"Metacognition" is often simply defined as "thinking about thinking." In actuality, defining metacognition is not that simple. Although the term has been part of the vocabulary of educational psychologists for the last couple of decades, and the concept for as long as humans have been able to reflect on their cognitive experiences, there is much debate over exactly what metacognition is. One reason for this confusion is the fact that there are several terms currently used to describe the same basic phenomenon (e.g., self-regulation, executive control), or an aspect of that phenomenon (e.g., meta-memory), and these terms are often used interchangeably in the literature. While there are some distinctions between definitions (see Van Zile-Tamsen, 1994, 1996 for a full discussion), all emphasize the role of executive processes in the overseeing and regulation of cognitive processes.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The term "metacognition" is most often associated with John Flavell, (1979). According to Flavell (1979, 1987), metacognition consists of both metacognitive knowledge and metacognitive experiences or regulation. Metacognitive knowledge refers to acquired knowledge about cognitive processes, knowledge that can be used to control cognitive processes. Flavell further divides metacognitive knowledge into three categories: knowledge of person variables, task variables and strategy variables.</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Metacognitive Knowledge</w:t>
      </w:r>
    </w:p>
    <w:p>
      <w:pPr>
        <w:pStyle w:val="Body"/>
        <w:spacing w:after="240" w:line="240" w:lineRule="auto"/>
        <w:rPr>
          <w:rFonts w:ascii="Times New Roman" w:cs="Times New Roman" w:hAnsi="Times New Roman" w:eastAsia="Times New Roman"/>
          <w:sz w:val="24"/>
          <w:szCs w:val="24"/>
        </w:rPr>
      </w:pPr>
      <w:r>
        <w:rPr>
          <w:rFonts w:ascii="Times New Roman"/>
          <w:sz w:val="24"/>
          <w:szCs w:val="24"/>
          <w:rtl w:val="0"/>
          <w:lang w:val="en-US"/>
        </w:rPr>
        <w:t>Stated very briefly, knowledge of person variables refers to general knowledge about how human beings learn and process information, as well as individual knowledge of one's own learning processes. For example, you may be aware that your study session will be more productive if you work in the quiet library rather than at home where there are many distractions. Knowledge of task variables include knowledge about the nature of the task as well as the type of processing demands that it will place upon the individual. For example, you may be aware that it will take more time for you to read and comprehend a science text than it would for you to read and comprehend a novel.</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Finally, knowledge about strategy variables include knowledge about both cognitive and metacognitive strategies, as well as conditional knowledge about when and where it is appropriate to use such strategies.</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Metacognitive Regulation</w:t>
      </w:r>
    </w:p>
    <w:p>
      <w:pPr>
        <w:pStyle w:val="Body"/>
        <w:spacing w:after="240" w:line="240" w:lineRule="auto"/>
        <w:rPr>
          <w:rFonts w:ascii="Times New Roman" w:cs="Times New Roman" w:hAnsi="Times New Roman" w:eastAsia="Times New Roman"/>
          <w:sz w:val="24"/>
          <w:szCs w:val="24"/>
        </w:rPr>
      </w:pPr>
      <w:r>
        <w:rPr>
          <w:rFonts w:ascii="Times New Roman"/>
          <w:sz w:val="24"/>
          <w:szCs w:val="24"/>
          <w:rtl w:val="0"/>
          <w:lang w:val="en-US"/>
        </w:rPr>
        <w:t>Metacognitive experiences involve the use of metacognitive strategies or metacognitive regulation (Brown, 1987). Metacognitive strategies are sequential processes that one uses to control cognitive activities, and to ensure that a cognitive goal (e.g., understanding a text) has been met. These processes help to regulate and oversee learning, and consist of planning and monitoring cognitive activities, as well as checking the outcomes of those activities.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For example, after reading a paragraph in a text a learner may question herself about the concepts discussed in the paragraph. Her cognitive goal is to understand the text. Self-questioning is a common metacognitive comprehension monitoring strategy. If she finds that she cannot answer her own questions, or that she does not understand the material discussed, she must then determine what needs to be done to ensure that she meets the cognitive goal of understanding the text. She may decide to go back and re-read the paragraph with the goal of being able to answer the questions she had generated. If, after re-reading through the text she can now answer the questions, she may determine that she understands the material. Thus, the metacognitive strategy of self-questioning is used to ensure that the cognitive goal of comprehension is met.</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Cognitive vs. Metacognitive Strategies</w:t>
      </w:r>
    </w:p>
    <w:p>
      <w:pPr>
        <w:pStyle w:val="Body"/>
        <w:spacing w:after="240" w:line="240" w:lineRule="auto"/>
        <w:rPr>
          <w:rFonts w:ascii="Times New Roman" w:cs="Times New Roman" w:hAnsi="Times New Roman" w:eastAsia="Times New Roman"/>
          <w:sz w:val="24"/>
          <w:szCs w:val="24"/>
        </w:rPr>
      </w:pPr>
      <w:r>
        <w:rPr>
          <w:rFonts w:ascii="Times New Roman"/>
          <w:sz w:val="24"/>
          <w:szCs w:val="24"/>
          <w:rtl w:val="0"/>
          <w:lang w:val="en-US"/>
        </w:rPr>
        <w:t>Most definitions of metacognition include both knowledge and strategy components; however, there are a number of problems associated with using such definitions. One major issue involves separating what is cognitive from what is metacognitive. What is the difference between a cognitive and a metacognitive strategy?</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Can declarative knowledge be metacognitive in nature? For example, is the knowledge that you have difficulty understanding principles from bio-chemistry cognitive or metacognitive knowledge? Flavell himself acknowledges that metacognitive knowledge may not be different from cognitive knowledge (Flavell, 1979). The distinction lies in how the information is used.</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Recall that metacognition is referred to as "thinking about thinking" and involves overseeing whether a cognitive goal has been met. This should be the defining criterion for determining what is metacognitive. Cognitive strategies are used to help an individual achieve a particular goal (e.g., understanding a text) while metacognitive strategies are used to ensure that the goal has been reached (e.g., quizzing oneself to evaluate one's understanding of that text). Metacognitive experiences usually precede or follow a cognitive activity. They often occur when cognitions fail, such as the recognition that one did not understand what one just read. Such an impasse is believed to activate metacognitive processes as the learner attempts to rectify the situation (Roberts &amp; Erdos, 1993).</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Metacognitive and cognitive strategies may overlap in that the same strategy, such as questioning, could be regarded as either a cognitive or a metacognitive strategy depending on what the purpose for using that strategy may be. For example, you may use a self-questioning strategy while reading as a means of obtaining knowledge (cognitive), or as a way of monitoring what you have read (metacognitive). Because cognitive and metacognitive strategies are closely intertwined and dependent upon each other, any attempt to examine one without acknowledging the other would not provide an adequate picture.</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Knowledge is considered to be metacognitive if it is actively used in a strategic manner to ensure that a goal is met. For example, a student may use knowledge in planning how to approach a math exam: "I know that I (person variable) have difficulty with word problems (task variable), so I will answer the computational problems first and save the word problems for last (strategy variable)." Simply possessing knowledge about one's cognitive strengths or weaknesses and the nature of the task without actively utilizing this information to oversee learning is not metacognitive.</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Metacognition and Intelligence</w:t>
      </w:r>
    </w:p>
    <w:p>
      <w:pPr>
        <w:pStyle w:val="Body"/>
        <w:spacing w:after="240" w:line="240" w:lineRule="auto"/>
        <w:rPr>
          <w:rFonts w:ascii="Times New Roman" w:cs="Times New Roman" w:hAnsi="Times New Roman" w:eastAsia="Times New Roman"/>
          <w:sz w:val="24"/>
          <w:szCs w:val="24"/>
        </w:rPr>
      </w:pPr>
      <w:r>
        <w:rPr>
          <w:rFonts w:ascii="Times New Roman"/>
          <w:sz w:val="24"/>
          <w:szCs w:val="24"/>
          <w:rtl w:val="0"/>
          <w:lang w:val="en-US"/>
        </w:rPr>
        <w:t>Metacognition, or the ability to control one's cognitive processes (self-regulation) has been linked to intelligence (Borkowski et al., 1987; Brown, 1987; Sternberg, 1984, 1986a, 1986b). Sternberg refers to these executive processes as "metacomponents" in his triarchic theory of intelligence (Sternberg, 1984, 1986a, 1986b). Metacomponents are executive processes that control other cognitive components as well as receive feedback from these components. According to Sternberg, metacomponents are responsible for "figuring out how to do a particular task or set of tasks, and then making sure that the task or set of tasks are done correctly" (Sternberg, 1986b, p. 24). These executive processes involve planning, evaluating and monitoring problem-solving activities. Sternberg maintains that the ability to appropriately allocate cognitive resources, such as deciding how and when a given task should be accomplished, is central to intelligence.</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Metacognition and Cognitive Strategy Instruction</w:t>
      </w:r>
    </w:p>
    <w:p>
      <w:pPr>
        <w:pStyle w:val="Body"/>
        <w:spacing w:after="240" w:line="240" w:lineRule="auto"/>
        <w:rPr>
          <w:rFonts w:ascii="Times New Roman" w:cs="Times New Roman" w:hAnsi="Times New Roman" w:eastAsia="Times New Roman"/>
          <w:sz w:val="24"/>
          <w:szCs w:val="24"/>
        </w:rPr>
      </w:pPr>
      <w:r>
        <w:rPr>
          <w:rFonts w:ascii="Times New Roman"/>
          <w:sz w:val="24"/>
          <w:szCs w:val="24"/>
          <w:rtl w:val="0"/>
          <w:lang w:val="en-US"/>
        </w:rPr>
        <w:t>Although most individuals of normal intelligence engage in metacognitive regulation when confronted with an effortful cognitive task, some are more metacognitive than others. Those with greater metacognitive abilities tend to be more successful in their cognitive endeavors. The good news is that individuals can learn how to better regulate their cognitive activities. Most often, metacognitive instruction occurs within Cognitive Strategy Instruction programs.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Cognitive Strategy Instruction (CSI) is an instructional approach which emphasizes the development of thinking skills and processes as a means to enhance learning. The objective of CSI is to enable all students to become more strategic, self-reliant, flexible, and productive in their learning endeavors (Scheid, 1993). CSI is based on the assumption that there are identifiable cognitive strategies, previously believed to be utilized by only the best and the brightest students, which can be taught to most students (Halpern, 1996). Use of these strategies have been associated with successful learning (Borkowski, Carr, &amp; Pressley, 1987; Garner, 1990).</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Metacognition enables students to benefit from instruction (Carr, Kurtz, Schneider, Turner &amp; Borkowski, 1989; Van Zile-Tamsen, 1996) and influences the use and maintenance of cognitive strategies. While there are several approaches to metacognitive instruction, the most effective involve providing the learner with both knowledge of cognitive processes and strategies (to be used as metacognitive knowledge), and experience or practice in using both cognitive and metacognitive strategies and evaluating the outcomes of their efforts (develops metacognitive regulation). Simply providing knowledge without experience or vice versa does not seem to be sufficient for the development of metacognitive control (Livingston, 1996).</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The study of metacognition has provided educational psychologists with insight about the cognitive processes involved in learning and what differentiates successful students from their less successful peers. It also holds several implications for instructional interventions, such as teaching students how to be more aware of their learning processes and products as well as how to regulate those processes for more effective learning.</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19050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19050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150.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before="100" w:after="100" w:line="240" w:lineRule="auto"/>
        <w:jc w:val="center"/>
        <w:outlineLvl w:val="2"/>
        <w:rPr>
          <w:rFonts w:ascii="Times New Roman" w:cs="Times New Roman" w:hAnsi="Times New Roman" w:eastAsia="Times New Roman"/>
          <w:b w:val="1"/>
          <w:bCs w:val="1"/>
          <w:sz w:val="27"/>
          <w:szCs w:val="27"/>
        </w:rPr>
      </w:pPr>
      <w:r>
        <w:rPr>
          <w:rFonts w:ascii="Times New Roman"/>
          <w:b w:val="1"/>
          <w:bCs w:val="1"/>
          <w:color w:val="ff0000"/>
          <w:sz w:val="27"/>
          <w:szCs w:val="27"/>
          <w:u w:color="ff0000"/>
          <w:rtl w:val="0"/>
          <w:lang w:val="en-US"/>
        </w:rPr>
        <w:t>References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Borkowski, J., Carr, M., &amp; Pressely, M. (1987). "Spontaneous" strategy use: Perspectives from metacognitive theory. </w:t>
      </w:r>
      <w:r>
        <w:rPr>
          <w:rFonts w:ascii="Times New Roman"/>
          <w:i w:val="1"/>
          <w:iCs w:val="1"/>
          <w:sz w:val="24"/>
          <w:szCs w:val="24"/>
          <w:rtl w:val="0"/>
          <w:lang w:val="da-DK"/>
        </w:rPr>
        <w:t>Intelligence, 11,</w:t>
      </w:r>
      <w:r>
        <w:rPr>
          <w:rFonts w:ascii="Times New Roman"/>
          <w:sz w:val="24"/>
          <w:szCs w:val="24"/>
          <w:rtl w:val="0"/>
        </w:rPr>
        <w:t xml:space="preserve"> 61-75.</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Brown, A. L. (1987). Metacognition, executive control, self-regulation, and other more mysterious mechanisms. In F. E. Weinert &amp; R. H. Kluwe (Eds.), </w:t>
      </w:r>
      <w:r>
        <w:rPr>
          <w:rFonts w:ascii="Times New Roman"/>
          <w:i w:val="1"/>
          <w:iCs w:val="1"/>
          <w:sz w:val="24"/>
          <w:szCs w:val="24"/>
          <w:rtl w:val="0"/>
          <w:lang w:val="en-US"/>
        </w:rPr>
        <w:t>Metacognition, motivation, and understanding</w:t>
      </w:r>
      <w:r>
        <w:rPr>
          <w:rFonts w:ascii="Times New Roman"/>
          <w:sz w:val="24"/>
          <w:szCs w:val="24"/>
          <w:rtl w:val="0"/>
          <w:lang w:val="de-DE"/>
        </w:rPr>
        <w:t xml:space="preserve"> (pp. 65-116). Hillsdale, New Jersey: Lawrence Erlbaum Associates.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Carr, M., Kurtz, B. E., Schneider, W., Turner, L. A., &amp; Borkowski, J. G. (1989). Strategy acquisition and transfer among German and American children: Environmental influences on metacognitive development. </w:t>
      </w:r>
      <w:r>
        <w:rPr>
          <w:rFonts w:ascii="Times New Roman"/>
          <w:i w:val="1"/>
          <w:iCs w:val="1"/>
          <w:sz w:val="24"/>
          <w:szCs w:val="24"/>
          <w:rtl w:val="0"/>
          <w:lang w:val="en-US"/>
        </w:rPr>
        <w:t>Developmental Psychology, 25,</w:t>
      </w:r>
      <w:r>
        <w:rPr>
          <w:rFonts w:ascii="Times New Roman"/>
          <w:sz w:val="24"/>
          <w:szCs w:val="24"/>
          <w:rtl w:val="0"/>
        </w:rPr>
        <w:t xml:space="preserve"> 765-771.</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Flavell, J. H. (1979). Metacognition and cognitive monitoring: A new area of cognitive-developmental inquiry. </w:t>
      </w:r>
      <w:r>
        <w:rPr>
          <w:rFonts w:ascii="Times New Roman"/>
          <w:i w:val="1"/>
          <w:iCs w:val="1"/>
          <w:sz w:val="24"/>
          <w:szCs w:val="24"/>
          <w:rtl w:val="0"/>
        </w:rPr>
        <w:t>American Psychologist, 34,</w:t>
      </w:r>
      <w:r>
        <w:rPr>
          <w:rFonts w:ascii="Times New Roman"/>
          <w:sz w:val="24"/>
          <w:szCs w:val="24"/>
          <w:rtl w:val="0"/>
        </w:rPr>
        <w:t xml:space="preserve"> 906-911.</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Flavell, J. H. (1987). Speculations about the nature and development of metacognition. In F. E. Weinert &amp; R. H. Kluwe (Eds.), </w:t>
      </w:r>
      <w:r>
        <w:rPr>
          <w:rFonts w:ascii="Times New Roman"/>
          <w:i w:val="1"/>
          <w:iCs w:val="1"/>
          <w:sz w:val="24"/>
          <w:szCs w:val="24"/>
          <w:rtl w:val="0"/>
          <w:lang w:val="en-US"/>
        </w:rPr>
        <w:t>Metacognition, Motivation and Understanding</w:t>
      </w:r>
      <w:r>
        <w:rPr>
          <w:rFonts w:ascii="Times New Roman"/>
          <w:sz w:val="24"/>
          <w:szCs w:val="24"/>
          <w:rtl w:val="0"/>
          <w:lang w:val="de-DE"/>
        </w:rPr>
        <w:t xml:space="preserve"> (pp. 21-29). Hillside, New Jersey: Lawrence Erlbaum Associates.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Garner, R. (1990). When children and adults do not use learning strategies: Toward a theory of settings. </w:t>
      </w:r>
      <w:r>
        <w:rPr>
          <w:rFonts w:ascii="Times New Roman"/>
          <w:i w:val="1"/>
          <w:iCs w:val="1"/>
          <w:sz w:val="24"/>
          <w:szCs w:val="24"/>
          <w:rtl w:val="0"/>
          <w:lang w:val="en-US"/>
        </w:rPr>
        <w:t>Review of Educational Research, 60,</w:t>
      </w:r>
      <w:r>
        <w:rPr>
          <w:rFonts w:ascii="Times New Roman"/>
          <w:sz w:val="24"/>
          <w:szCs w:val="24"/>
          <w:rtl w:val="0"/>
        </w:rPr>
        <w:t xml:space="preserve"> 517-529.</w:t>
      </w:r>
      <w:r>
        <w:rPr>
          <w:rFonts w:ascii="Times New Roman" w:cs="Times New Roman" w:hAnsi="Times New Roman" w:eastAsia="Times New Roman"/>
          <w:sz w:val="24"/>
          <w:szCs w:val="24"/>
          <w:rtl w:val="0"/>
        </w:rPr>
        <w:br w:type="textWrapping"/>
        <w:br w:type="textWrapping"/>
      </w:r>
      <w:r>
        <w:rPr>
          <w:rFonts w:ascii="Times New Roman"/>
          <w:sz w:val="24"/>
          <w:szCs w:val="24"/>
          <w:rtl w:val="0"/>
        </w:rPr>
        <w:t xml:space="preserve">Halpern, D. F. (1996). </w:t>
      </w:r>
      <w:r>
        <w:rPr>
          <w:rFonts w:ascii="Times New Roman"/>
          <w:i w:val="1"/>
          <w:iCs w:val="1"/>
          <w:sz w:val="24"/>
          <w:szCs w:val="24"/>
          <w:rtl w:val="0"/>
          <w:lang w:val="en-US"/>
        </w:rPr>
        <w:t>Thought and knowledge: An introduction to critical thinking.</w:t>
      </w:r>
      <w:r>
        <w:rPr>
          <w:rFonts w:ascii="Times New Roman"/>
          <w:sz w:val="24"/>
          <w:szCs w:val="24"/>
          <w:rtl w:val="0"/>
          <w:lang w:val="en-US"/>
        </w:rPr>
        <w:t xml:space="preserve"> Mahwah, New Jersey: Lawrence Erlbaum Associates, Publishers.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Livingston, J. A. (1996). </w:t>
      </w:r>
      <w:r>
        <w:rPr>
          <w:rFonts w:ascii="Times New Roman"/>
          <w:i w:val="1"/>
          <w:iCs w:val="1"/>
          <w:sz w:val="24"/>
          <w:szCs w:val="24"/>
          <w:rtl w:val="0"/>
          <w:lang w:val="en-US"/>
        </w:rPr>
        <w:t>Effects of metacognitive instruction on strategy use of college students.</w:t>
      </w:r>
      <w:r>
        <w:rPr>
          <w:rFonts w:ascii="Times New Roman"/>
          <w:sz w:val="24"/>
          <w:szCs w:val="24"/>
          <w:rtl w:val="0"/>
          <w:lang w:val="en-US"/>
        </w:rPr>
        <w:t xml:space="preserve"> Unpublished manuscript, State University of New York at Buffalo.</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Roberts, M. J., &amp; Erdos, G. (1993). Strategy selection and metacognition. </w:t>
      </w:r>
      <w:r>
        <w:rPr>
          <w:rFonts w:ascii="Times New Roman"/>
          <w:i w:val="1"/>
          <w:iCs w:val="1"/>
          <w:sz w:val="24"/>
          <w:szCs w:val="24"/>
          <w:rtl w:val="0"/>
          <w:lang w:val="en-US"/>
        </w:rPr>
        <w:t>Educational Psychology, 13,</w:t>
      </w:r>
      <w:r>
        <w:rPr>
          <w:rFonts w:ascii="Times New Roman"/>
          <w:sz w:val="24"/>
          <w:szCs w:val="24"/>
          <w:rtl w:val="0"/>
        </w:rPr>
        <w:t xml:space="preserve"> 259-266.</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de-DE"/>
        </w:rPr>
        <w:t xml:space="preserve">Scheid, K. (1993). </w:t>
      </w:r>
      <w:r>
        <w:rPr>
          <w:rFonts w:ascii="Times New Roman"/>
          <w:i w:val="1"/>
          <w:iCs w:val="1"/>
          <w:sz w:val="24"/>
          <w:szCs w:val="24"/>
          <w:rtl w:val="0"/>
          <w:lang w:val="en-US"/>
        </w:rPr>
        <w:t>Helping students become strategic learners: Guidelines for teaching.</w:t>
      </w:r>
      <w:r>
        <w:rPr>
          <w:rFonts w:ascii="Times New Roman"/>
          <w:sz w:val="24"/>
          <w:szCs w:val="24"/>
          <w:rtl w:val="0"/>
          <w:lang w:val="nl-NL"/>
        </w:rPr>
        <w:t xml:space="preserve"> Cambridge, MA: Brookline Books.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Sternberg, R. J. (1984). What should intelligence tests test? Implications for a triarchic theory of intelligence for intelligence testing. </w:t>
      </w:r>
      <w:r>
        <w:rPr>
          <w:rFonts w:ascii="Times New Roman"/>
          <w:i w:val="1"/>
          <w:iCs w:val="1"/>
          <w:sz w:val="24"/>
          <w:szCs w:val="24"/>
          <w:rtl w:val="0"/>
          <w:lang w:val="en-US"/>
        </w:rPr>
        <w:t xml:space="preserve">Educational Researcher, 13 </w:t>
      </w:r>
      <w:r>
        <w:rPr>
          <w:rFonts w:ascii="Times New Roman"/>
          <w:sz w:val="24"/>
          <w:szCs w:val="24"/>
          <w:rtl w:val="0"/>
        </w:rPr>
        <w:t>(1), 5-15.</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da-DK"/>
        </w:rPr>
        <w:t xml:space="preserve">Sternberg, R. J. (1986a). Inside intelligence. </w:t>
      </w:r>
      <w:r>
        <w:rPr>
          <w:rFonts w:ascii="Times New Roman"/>
          <w:i w:val="1"/>
          <w:iCs w:val="1"/>
          <w:sz w:val="24"/>
          <w:szCs w:val="24"/>
          <w:rtl w:val="0"/>
          <w:lang w:val="en-US"/>
        </w:rPr>
        <w:t>American Scientist, 74,</w:t>
      </w:r>
      <w:r>
        <w:rPr>
          <w:rFonts w:ascii="Times New Roman"/>
          <w:sz w:val="24"/>
          <w:szCs w:val="24"/>
          <w:rtl w:val="0"/>
        </w:rPr>
        <w:t xml:space="preserve"> 137-143.</w:t>
      </w:r>
      <w:r>
        <w:rPr>
          <w:rFonts w:ascii="Times New Roman" w:cs="Times New Roman" w:hAnsi="Times New Roman" w:eastAsia="Times New Roman"/>
          <w:sz w:val="24"/>
          <w:szCs w:val="24"/>
          <w:rtl w:val="0"/>
        </w:rPr>
        <w:br w:type="textWrapping"/>
        <w:br w:type="textWrapping"/>
      </w:r>
      <w:r>
        <w:rPr>
          <w:rFonts w:ascii="Times New Roman"/>
          <w:sz w:val="24"/>
          <w:szCs w:val="24"/>
          <w:rtl w:val="0"/>
        </w:rPr>
        <w:t xml:space="preserve">Sternberg, R. J. (1986b). </w:t>
      </w:r>
      <w:r>
        <w:rPr>
          <w:rFonts w:ascii="Times New Roman"/>
          <w:i w:val="1"/>
          <w:iCs w:val="1"/>
          <w:sz w:val="24"/>
          <w:szCs w:val="24"/>
          <w:rtl w:val="0"/>
          <w:lang w:val="en-US"/>
        </w:rPr>
        <w:t>Intelligence applied.</w:t>
      </w:r>
      <w:r>
        <w:rPr>
          <w:rFonts w:ascii="Times New Roman"/>
          <w:sz w:val="24"/>
          <w:szCs w:val="24"/>
          <w:rtl w:val="0"/>
          <w:lang w:val="en-US"/>
        </w:rPr>
        <w:t xml:space="preserve"> New York: Harcourt Brace Jovanovich, Publishers.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nl-NL"/>
        </w:rPr>
        <w:t xml:space="preserve">Van Zile-Tamsen, C. M. (1994). </w:t>
      </w:r>
      <w:r>
        <w:rPr>
          <w:rFonts w:ascii="Times New Roman"/>
          <w:i w:val="1"/>
          <w:iCs w:val="1"/>
          <w:sz w:val="24"/>
          <w:szCs w:val="24"/>
          <w:rtl w:val="0"/>
          <w:lang w:val="en-US"/>
        </w:rPr>
        <w:t>The role of motivation in metacognitive self-regulation.</w:t>
      </w:r>
      <w:r>
        <w:rPr>
          <w:rFonts w:ascii="Times New Roman"/>
          <w:sz w:val="24"/>
          <w:szCs w:val="24"/>
          <w:rtl w:val="0"/>
          <w:lang w:val="en-US"/>
        </w:rPr>
        <w:t xml:space="preserve"> Unpublished manuscript, State University of New York at Buffalo.</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nl-NL"/>
        </w:rPr>
        <w:t xml:space="preserve">Van Zile-Tamsen, C. M. (1996). </w:t>
      </w:r>
      <w:r>
        <w:rPr>
          <w:rFonts w:ascii="Times New Roman"/>
          <w:i w:val="1"/>
          <w:iCs w:val="1"/>
          <w:sz w:val="24"/>
          <w:szCs w:val="24"/>
          <w:rtl w:val="0"/>
          <w:lang w:val="en-US"/>
        </w:rPr>
        <w:t>Metacognitive self-regualtion and the daily academic activities of college students.</w:t>
      </w:r>
      <w:r>
        <w:rPr>
          <w:rFonts w:ascii="Times New Roman"/>
          <w:sz w:val="24"/>
          <w:szCs w:val="24"/>
          <w:rtl w:val="0"/>
          <w:lang w:val="en-US"/>
        </w:rPr>
        <w:t xml:space="preserve"> Unpublished doctoral dissertation, State University of New York at Buffalo.</w:t>
      </w:r>
      <w:r>
        <w:rPr>
          <w:rFonts w:ascii="Times New Roman" w:cs="Times New Roman" w:hAnsi="Times New Roman" w:eastAsia="Times New Roman"/>
          <w:sz w:val="24"/>
          <w:szCs w:val="24"/>
          <w:rtl w:val="0"/>
        </w:rPr>
        <w:br w:type="textWrapping"/>
        <w:br w:type="textWrapping"/>
        <w:br w:type="textWrapping"/>
      </w:r>
      <w:r>
        <w:rPr>
          <w:rFonts w:hAnsi="Times New Roman" w:hint="default"/>
          <w:sz w:val="20"/>
          <w:szCs w:val="20"/>
          <w:rtl w:val="0"/>
          <w:lang w:val="en-US"/>
        </w:rPr>
        <w:t xml:space="preserve">© </w:t>
      </w:r>
      <w:r>
        <w:rPr>
          <w:rFonts w:ascii="Times New Roman"/>
          <w:sz w:val="20"/>
          <w:szCs w:val="20"/>
          <w:rtl w:val="0"/>
          <w:lang w:val="en-US"/>
        </w:rPr>
        <w:t>1997 by Jennifer A. Livingston</w:t>
      </w:r>
      <w:r>
        <w:rPr>
          <w:rFonts w:ascii="Times New Roman"/>
          <w:sz w:val="24"/>
          <w:szCs w:val="24"/>
          <w:rtl w:val="0"/>
        </w:rPr>
        <w:t xml:space="preserve"> </w:t>
      </w:r>
    </w:p>
    <w:p>
      <w:pPr>
        <w:pStyle w:val="Body"/>
        <w:widowControl w:val="0"/>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254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2.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bl>
      <w:tblPr>
        <w:tblW w:w="934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3"/>
        <w:gridCol w:w="2334"/>
        <w:gridCol w:w="2339"/>
      </w:tblGrid>
      <w:tr>
        <w:tblPrEx>
          <w:shd w:val="clear" w:color="auto" w:fill="auto"/>
        </w:tblPrEx>
        <w:trPr>
          <w:trHeight w:val="227" w:hRule="atLeast"/>
        </w:trPr>
        <w:tc>
          <w:tcPr>
            <w:tcW w:type="dxa" w:w="23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4" w:anchor="Top"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Top of Page</w:t>
              </w:r>
            </w:hyperlink>
          </w:p>
        </w:tc>
        <w:tc>
          <w:tcPr>
            <w:tcW w:type="dxa" w:w="2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5"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Course Syllabus</w:t>
              </w:r>
            </w:hyperlink>
          </w:p>
        </w:tc>
        <w:tc>
          <w:tcPr>
            <w:tcW w:type="dxa" w:w="2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6"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Class Schedule</w:t>
              </w:r>
            </w:hyperlink>
          </w:p>
        </w:tc>
        <w:tc>
          <w:tcPr>
            <w:tcW w:type="dxa" w:w="233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7"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Class Forum</w:t>
              </w:r>
            </w:hyperlink>
          </w:p>
        </w:tc>
      </w:tr>
      <w:tr>
        <w:tblPrEx>
          <w:shd w:val="clear" w:color="auto" w:fill="auto"/>
        </w:tblPrEx>
        <w:trPr>
          <w:trHeight w:val="227" w:hRule="atLeast"/>
        </w:trPr>
        <w:tc>
          <w:tcPr>
            <w:tcW w:type="dxa" w:w="23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8"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CEP 564 Homepage</w:t>
              </w:r>
            </w:hyperlink>
          </w:p>
        </w:tc>
        <w:tc>
          <w:tcPr>
            <w:tcW w:type="dxa" w:w="2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9"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Lecture Outlines</w:t>
              </w:r>
            </w:hyperlink>
          </w:p>
        </w:tc>
        <w:tc>
          <w:tcPr>
            <w:tcW w:type="dxa" w:w="2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pPr>
              <w:pStyle w:val="Body"/>
              <w:spacing w:after="0" w:line="240" w:lineRule="auto"/>
              <w:jc w:val="center"/>
            </w:pPr>
            <w:hyperlink r:id="rId10" w:history="1">
              <w:r>
                <w:rPr>
                  <w:rStyle w:val="Hyperlink.0"/>
                  <w:rFonts w:ascii="Times New Roman"/>
                  <w:caps w:val="0"/>
                  <w:smallCaps w:val="0"/>
                  <w:strike w:val="0"/>
                  <w:dstrike w:val="0"/>
                  <w:outline w:val="0"/>
                  <w:color w:val="0000ff"/>
                  <w:spacing w:val="0"/>
                  <w:kern w:val="0"/>
                  <w:position w:val="0"/>
                  <w:sz w:val="20"/>
                  <w:szCs w:val="20"/>
                  <w:u w:val="single" w:color="0000ff"/>
                  <w:vertAlign w:val="baseline"/>
                  <w:rtl w:val="0"/>
                  <w:lang w:val="en-US"/>
                </w:rPr>
                <w:t>Projects &amp; Assignments</w:t>
              </w:r>
            </w:hyperlink>
          </w:p>
        </w:tc>
        <w:tc>
          <w:tcPr>
            <w:tcW w:type="dxa" w:w="233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7fc2bc"/>
            <w:tcMar>
              <w:top w:type="dxa" w:w="80"/>
              <w:left w:type="dxa" w:w="80"/>
              <w:bottom w:type="dxa" w:w="80"/>
              <w:right w:type="dxa" w:w="80"/>
            </w:tcMar>
            <w:vAlign w:val="center"/>
          </w:tcPr>
          <w:p/>
        </w:tc>
      </w:tr>
    </w:tbl>
    <w:p>
      <w:pPr>
        <w:pStyle w:val="Body"/>
        <w:widowControl w:val="0"/>
        <w:spacing w:after="0" w:line="240" w:lineRule="auto"/>
      </w:pPr>
      <w:r>
        <w:rPr>
          <w:rFonts w:ascii="Times New Roman" w:cs="Times New Roman" w:hAnsi="Times New Roman" w:eastAsia="Times New Roman"/>
          <w:sz w:val="24"/>
          <w:szCs w:val="24"/>
        </w:rPr>
      </w:r>
    </w:p>
    <w:sectPr>
      <w:headerReference w:type="default" r:id="rId11"/>
      <w:footerReference w:type="default" r:id="rId12"/>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5</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None">
    <w:name w:val="None"/>
  </w:style>
  <w:style w:type="character" w:styleId="Hyperlink.0">
    <w:name w:val="Hyperlink.0"/>
    <w:basedOn w:val="None"/>
    <w:next w:val="Hyperlink.0"/>
    <w:rPr>
      <w:caps w:val="0"/>
      <w:smallCaps w:val="0"/>
      <w:strike w:val="0"/>
      <w:dstrike w:val="0"/>
      <w:outline w:val="0"/>
      <w:color w:val="0000ff"/>
      <w:spacing w:val="0"/>
      <w:kern w:val="0"/>
      <w:position w:val="0"/>
      <w:sz w:val="20"/>
      <w:szCs w:val="20"/>
      <w:u w:val="single" w:color="0000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gse.buffalo.edu/fas/shuell/cep564/metacog.htm" TargetMode="External"/><Relationship Id="rId5" Type="http://schemas.openxmlformats.org/officeDocument/2006/relationships/hyperlink" Target="http://gse.buffalo.edu/fas/shuell/cep564/564Sylb.htm" TargetMode="External"/><Relationship Id="rId6" Type="http://schemas.openxmlformats.org/officeDocument/2006/relationships/hyperlink" Target="http://gse.buffalo.edu/fas/shuell/cep564/564Sched.htm" TargetMode="External"/><Relationship Id="rId7" Type="http://schemas.openxmlformats.org/officeDocument/2006/relationships/hyperlink" Target="http://128.205.103.184/courses/GSE_cep-564/wwwboard.htm" TargetMode="External"/><Relationship Id="rId8" Type="http://schemas.openxmlformats.org/officeDocument/2006/relationships/hyperlink" Target="http://gse.buffalo.edu/fas/shuell/cep564/index.htm" TargetMode="External"/><Relationship Id="rId9" Type="http://schemas.openxmlformats.org/officeDocument/2006/relationships/hyperlink" Target="http://wings.buffalo.edu/gse/cep/shuell/564Lect.htm" TargetMode="External"/><Relationship Id="rId10" Type="http://schemas.openxmlformats.org/officeDocument/2006/relationships/hyperlink" Target="http://gse.buffalo.edu/fas/shuell/cep564/564Assn.ht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